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8A7E71" w:rsidR="0026000D" w:rsidP="005A70C2" w:rsidRDefault="005A70C2">
      <w:pPr>
        <w:pStyle w:val="MainTitle"/>
        <w:tabs>
          <w:tab w:val="left" w:pos="3969"/>
        </w:tabs>
        <w:spacing w:line="204" w:lineRule="auto"/>
        <w:ind w:right="274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5080000</wp:posOffset>
            </wp:positionH>
            <wp:positionV relativeFrom="margin">
              <wp:posOffset>5969000</wp:posOffset>
            </wp:positionV>
            <wp:extent cx="1645923" cy="1120142"/>
            <wp:effectExtent l="0" t="0" r="0" b="0"/>
            <wp:wrapNone/>
            <wp:docPr id="100037" name="Picture 10003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29757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5923" cy="112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746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ge">
                  <wp:posOffset>5911215</wp:posOffset>
                </wp:positionV>
                <wp:extent cx="3331845" cy="367030"/>
                <wp:effectExtent l="0" t="0" r="1905" b="0"/>
                <wp:wrapNone/>
                <wp:docPr id="42" name="Group 42" descr="" titl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A8186B" w:rsidR="00E375D9" w:rsidP="00E375D9" w:rsidRDefault="000E4746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style="position:absolute;margin-left:348pt;margin-top:465.45pt;width:262.35pt;height:28.9pt;z-index:251669504;mso-position-vertical-relative:page" coordsize="33318,3670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40" style="position:absolute;width:33318;height:3670;visibility:visible;mso-wrap-style:square" alt="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">
                  <v:imagedata o:title="" r:id="rId9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" style="position:absolute;left:1232;top:205;width:24130;height:3296;visibility:visible;mso-wrap-style:square;v-text-anchor:top" alt="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>
                  <v:textbox>
                    <w:txbxContent>
                      <w:p w:rsidRPr="00A8186B" w:rsidR="00E375D9" w:rsidP="00E375D9" w:rsidRDefault="000E4746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19007E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4423025</wp:posOffset>
                </wp:positionH>
                <wp:positionV relativeFrom="page">
                  <wp:posOffset>2506345</wp:posOffset>
                </wp:positionV>
                <wp:extent cx="3331845" cy="367030"/>
                <wp:effectExtent l="0" t="0" r="1905" b="0"/>
                <wp:wrapNone/>
                <wp:docPr id="39" name="Group 39" descr="" titl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1845" cy="367030"/>
                          <a:chOff x="0" y="0"/>
                          <a:chExt cx="3331845" cy="367030"/>
                        </a:xfrm>
                      </wpg:grpSpPr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1845" cy="3670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67405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3290" y="20549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A8186B" w:rsidR="00E375D9" w:rsidP="00E375D9" w:rsidRDefault="000E4746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" style="position:absolute;margin-left:348.25pt;margin-top:197.35pt;width:262.35pt;height:28.9pt;z-index:251667456;mso-position-vertical-relative:page" coordsize="33318,3670" o:spid="_x0000_s1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">
                <v:shape id="Picture 37" style="position:absolute;width:33318;height:3670;visibility:visible;mso-wrap-style:square" alt="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">
                  <v:imagedata o:title="" r:id="rId9"/>
                </v:shape>
                <v:shape id="_x0000_s1031" style="position:absolute;left:1232;top:205;width:24130;height:3296;visibility:visible;mso-wrap-style:square;v-text-anchor:top" alt="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">
                  <v:textbox>
                    <w:txbxContent>
                      <w:p w:rsidRPr="00A8186B" w:rsidR="00E375D9" w:rsidP="00E375D9" w:rsidRDefault="000E4746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4208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4561367</wp:posOffset>
                </wp:positionH>
                <wp:positionV relativeFrom="page">
                  <wp:posOffset>2870791</wp:posOffset>
                </wp:positionV>
                <wp:extent cx="2413000" cy="3051175"/>
                <wp:effectExtent l="0" t="0" r="0" b="0"/>
                <wp:wrapSquare wrapText="bothSides"/>
                <wp:docPr id="217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3051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3" w:rsidP="00BC50A3" w:rsidRDefault="000E4746">
                            <w:pPr>
                              <w:pStyle w:val="BulletListText"/>
                              <w:spacing w:after="120"/>
                              <w:ind w:left="540"/>
                            </w:pPr>
                            <w:r>
                              <w:t xml:space="preserve">The CARES Act includes a variety of changes for group health plans and health insurance issuers. </w:t>
                            </w:r>
                          </w:p>
                          <w:p w:rsidR="00BC50A3" w:rsidP="00BC50A3" w:rsidRDefault="000E4746">
                            <w:pPr>
                              <w:pStyle w:val="BulletListText"/>
                              <w:spacing w:after="120"/>
                              <w:ind w:left="540"/>
                            </w:pPr>
                            <w:r>
                              <w:t xml:space="preserve">COVID-19 vaccines and preventive services must be covered without cost-sharing soon after they become available. </w:t>
                            </w:r>
                          </w:p>
                          <w:p w:rsidR="00BC50A3" w:rsidP="00BC50A3" w:rsidRDefault="000E4746">
                            <w:pPr>
                              <w:pStyle w:val="BulletListText"/>
                              <w:spacing w:after="120"/>
                              <w:ind w:left="540"/>
                            </w:pPr>
                            <w:r>
                              <w:t xml:space="preserve">Individuals can use their HSAs, health FSAs or HRAs for OTC medications, without a prescription. </w:t>
                            </w:r>
                          </w:p>
                          <w:p w:rsidR="00BC50A3" w:rsidP="00BC50A3" w:rsidRDefault="000E4746">
                            <w:pPr>
                              <w:pStyle w:val="BulletListText"/>
                              <w:spacing w:after="120"/>
                              <w:ind w:left="540"/>
                            </w:pPr>
                            <w:r>
                              <w:t xml:space="preserve">HDHPs can cover telehealth services without </w:t>
                            </w:r>
                            <w:r>
                              <w:t xml:space="preserve">a deductible.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style="position:absolute;margin-left:359.15pt;margin-top:226.05pt;width:190pt;height:2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lt="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">
                <v:textbox>
                  <w:txbxContent>
                    <w:p w:rsidR="00110963" w:rsidP="00BC50A3" w:rsidRDefault="000E4746">
                      <w:pPr>
                        <w:pStyle w:val="BulletListText"/>
                        <w:spacing w:after="120"/>
                        <w:ind w:left="540"/>
                      </w:pPr>
                      <w:r>
                        <w:t xml:space="preserve">The CARES Act includes a variety of changes for group health plans and health insurance issuers. </w:t>
                      </w:r>
                    </w:p>
                    <w:p w:rsidR="00BC50A3" w:rsidP="00BC50A3" w:rsidRDefault="000E4746">
                      <w:pPr>
                        <w:pStyle w:val="BulletListText"/>
                        <w:spacing w:after="120"/>
                        <w:ind w:left="540"/>
                      </w:pPr>
                      <w:r>
                        <w:t xml:space="preserve">COVID-19 vaccines and preventive services must be covered without cost-sharing soon after they become available. </w:t>
                      </w:r>
                    </w:p>
                    <w:p w:rsidR="00BC50A3" w:rsidP="00BC50A3" w:rsidRDefault="000E4746">
                      <w:pPr>
                        <w:pStyle w:val="BulletListText"/>
                        <w:spacing w:after="120"/>
                        <w:ind w:left="540"/>
                      </w:pPr>
                      <w:r>
                        <w:t xml:space="preserve">Individuals can use their HSAs, health FSAs or HRAs for OTC medications, without a prescription. </w:t>
                      </w:r>
                    </w:p>
                    <w:p w:rsidR="00BC50A3" w:rsidP="00BC50A3" w:rsidRDefault="000E4746">
                      <w:pPr>
                        <w:pStyle w:val="BulletListText"/>
                        <w:spacing w:after="120"/>
                        <w:ind w:left="540"/>
                      </w:pPr>
                      <w:r>
                        <w:t xml:space="preserve">HDHPs can cover telehealth services without </w:t>
                      </w:r>
                      <w:r>
                        <w:t xml:space="preserve">a deductible.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t xml:space="preserve">CARES Act </w:t>
      </w:r>
      <w:r w:rsidR="00F02742">
        <w:t xml:space="preserve">Makes </w:t>
      </w:r>
      <w:r w:rsidRPr="0054445D">
        <w:t>Changes</w:t>
      </w:r>
      <w:r>
        <w:t xml:space="preserve"> for Health Plans</w:t>
      </w:r>
    </w:p>
    <w:p w:rsidR="00657E04" w:rsidP="008406B4" w:rsidRDefault="000E4746">
      <w:pPr>
        <w:pStyle w:val="BodyText"/>
        <w:spacing w:after="120"/>
        <w:ind w:right="274"/>
      </w:pPr>
      <w:r>
        <w:t xml:space="preserve">On March 27, 2020, President Trump signed the </w:t>
      </w:r>
      <w:hyperlink w:history="1" r:id="rId10">
        <w:r w:rsidRPr="00657E04">
          <w:rPr>
            <w:rStyle w:val="Hyperlink"/>
          </w:rPr>
          <w:t>Coronavirus Aid, Relief and Economic Security Act</w:t>
        </w:r>
      </w:hyperlink>
      <w:r>
        <w:t xml:space="preserve"> (CARES Act) into law to</w:t>
      </w:r>
      <w:r>
        <w:t xml:space="preserve"> provide $2.2 trillion in federal funding to address the COVID-19 crisis. </w:t>
      </w:r>
      <w:r w:rsidR="0054445D">
        <w:t>T</w:t>
      </w:r>
      <w:r>
        <w:t xml:space="preserve">he CARES Act makes a variety of changes affecting health plans. </w:t>
      </w:r>
      <w:r w:rsidRPr="008A7E71" w:rsidR="008A7E71">
        <w:t>The</w:t>
      </w:r>
      <w:r>
        <w:t xml:space="preserve">se changes include: </w:t>
      </w:r>
    </w:p>
    <w:p w:rsidR="0054445D" w:rsidP="008406B4" w:rsidRDefault="000E4746">
      <w:pPr>
        <w:pStyle w:val="Checkbox"/>
        <w:spacing w:after="120"/>
      </w:pPr>
      <w:r>
        <w:t>Expand</w:t>
      </w:r>
      <w:r w:rsidR="008B4EC6">
        <w:t>ing</w:t>
      </w:r>
      <w:r>
        <w:t xml:space="preserve"> the types of coronavirus testing that all health plans and health insurance issuers</w:t>
      </w:r>
      <w:r>
        <w:t xml:space="preserve"> must cover without cost-sharing </w:t>
      </w:r>
      <w:r w:rsidRPr="0054445D">
        <w:t>(such as deductibles, copayments or coinsurance) or prior authorizat</w:t>
      </w:r>
      <w:r>
        <w:t xml:space="preserve">ion;  </w:t>
      </w:r>
    </w:p>
    <w:p w:rsidR="0054445D" w:rsidP="008406B4" w:rsidRDefault="000E4746">
      <w:pPr>
        <w:pStyle w:val="Checkbox"/>
        <w:spacing w:after="120"/>
      </w:pPr>
      <w:r>
        <w:t>Accelerat</w:t>
      </w:r>
      <w:r w:rsidR="008B4EC6">
        <w:t>ing</w:t>
      </w:r>
      <w:r>
        <w:t xml:space="preserve"> the process that w</w:t>
      </w:r>
      <w:r w:rsidR="008406B4">
        <w:t xml:space="preserve">ill require </w:t>
      </w:r>
      <w:r>
        <w:t>health plans and issuers to cover preventive services and vaccines related to COVID-19;</w:t>
      </w:r>
    </w:p>
    <w:p w:rsidR="0054445D" w:rsidP="008406B4" w:rsidRDefault="000E4746">
      <w:pPr>
        <w:pStyle w:val="Checkbox"/>
        <w:spacing w:after="120"/>
      </w:pPr>
      <w:r>
        <w:t>Allow</w:t>
      </w:r>
      <w:r w:rsidR="008B4EC6">
        <w:t>ing</w:t>
      </w:r>
      <w:r>
        <w:t xml:space="preserve"> telehealth and other remote care services to be covered under a high deductible health plan (HDHP) before the deductible is met, without affecting the HDHP’s compatibility with health savings accounts (HSAs) (applicable for HDHP plan years beginning on or</w:t>
      </w:r>
      <w:r>
        <w:t xml:space="preserve"> before Dec. 31, 2021); and</w:t>
      </w:r>
    </w:p>
    <w:p w:rsidRPr="008A7E71" w:rsidR="00657E04" w:rsidP="008406B4" w:rsidRDefault="000E4746">
      <w:pPr>
        <w:pStyle w:val="Checkbox"/>
        <w:spacing w:after="120"/>
      </w:pPr>
      <w:r>
        <w:t>Treat</w:t>
      </w:r>
      <w:r w:rsidR="008B4EC6">
        <w:t>ing</w:t>
      </w:r>
      <w:r>
        <w:t xml:space="preserve"> over-the-counter </w:t>
      </w:r>
      <w:r w:rsidR="002A4D1A">
        <w:t>(OTC)</w:t>
      </w:r>
      <w:r w:rsidR="0075137C">
        <w:t xml:space="preserve"> </w:t>
      </w:r>
      <w:r>
        <w:t>medications, along with menstrual care products, as qualified medical expenses that may be paid for using HSAs or other tax-advantaged arrangements, such as health flexible spending accounts (FSAs</w:t>
      </w:r>
      <w:r>
        <w:t xml:space="preserve">) or health reimbursement arrangements (HRAs).  </w:t>
      </w:r>
      <w:r w:rsidRPr="008A7E71" w:rsidR="008A7E71">
        <w:t xml:space="preserve"> </w:t>
      </w:r>
    </w:p>
    <w:p w:rsidR="005A1F47" w:rsidP="00330934" w:rsidRDefault="000E4746">
      <w:pPr>
        <w:pStyle w:val="BodyText"/>
        <w:spacing w:after="0"/>
        <w:ind w:right="2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125857</wp:posOffset>
                </wp:positionV>
                <wp:extent cx="3331845" cy="367030"/>
                <wp:effectExtent l="0" t="0" r="1905" b="0"/>
                <wp:wrapNone/>
                <wp:docPr id="36" name="Group 36" descr="" titl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1845" cy="367030"/>
                          <a:chOff x="11430" y="-19522"/>
                          <a:chExt cx="3332014" cy="367502"/>
                        </a:xfrm>
                      </wpg:grpSpPr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" y="-19522"/>
                            <a:ext cx="3332014" cy="3675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377190" y="0"/>
                            <a:ext cx="241300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Pr="00A8186B" w:rsidR="008B3699" w:rsidP="008B3699" w:rsidRDefault="000E4746">
                              <w:pPr>
                                <w:pStyle w:val="SubHeader"/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32"/>
                                  <w:szCs w:val="32"/>
                                </w:rPr>
                              </w:r>
                            </w:p>
                          </w:txbxContent>
                        </wps:txbx>
                        <wps:bodyPr rot="0" vert="horz" wrap="square" anchor="t" anchorCtr="0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" style="position:absolute;left:0;text-align:left;margin-left:-35.35pt;margin-top:9.9pt;width:262.35pt;height:28.9pt;z-index:251665408;mso-width-relative:margin;mso-height-relative:margin" coordsize="33320,3675" coordorigin="114,-195" o:spid="_x0000_s10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">
                <v:shape id="Picture 33" style="position:absolute;left:114;top:-195;width:33320;height:3674;visibility:visible;mso-wrap-style:square" alt="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">
                  <v:imagedata o:title="" r:id="rId9"/>
                </v:shape>
                <v:shape id="Text Box 35" style="position:absolute;left:3771;width:24130;height:3295;visibility:visible;mso-wrap-style:square;v-text-anchor:top" alt="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>
                  <v:textbox>
                    <w:txbxContent>
                      <w:p w:rsidRPr="00A8186B" w:rsidR="008B3699" w:rsidP="008B3699" w:rsidRDefault="000E4746">
                        <w:pPr>
                          <w:pStyle w:val="SubHeader"/>
                          <w:rPr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color w:val="FFFFFF" w:themeColor="background1"/>
                            <w:sz w:val="32"/>
                            <w:szCs w:val="32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B200A" w:rsidP="00150559" w:rsidRDefault="001B200A">
      <w:pPr>
        <w:pStyle w:val="Xbox"/>
        <w:numPr>
          <w:ilvl w:val="0"/>
          <w:numId w:val="0"/>
        </w:numPr>
        <w:ind w:right="270"/>
      </w:pPr>
    </w:p>
    <w:p w:rsidR="00D046CF" w:rsidP="00E52110" w:rsidRDefault="000E4746">
      <w:pPr>
        <w:pStyle w:val="Xbox"/>
        <w:numPr>
          <w:ilvl w:val="0"/>
          <w:numId w:val="0"/>
        </w:numPr>
        <w:ind w:left="540" w:right="27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ge">
                  <wp:posOffset>6304508</wp:posOffset>
                </wp:positionV>
                <wp:extent cx="2413000" cy="1913255"/>
                <wp:effectExtent l="0" t="0" r="0" b="0"/>
                <wp:wrapSquare wrapText="bothSides"/>
                <wp:docPr id="13" name="Text Box 2" descr="" titl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1913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63" w:rsidP="00110963" w:rsidRDefault="000E4746">
                            <w:pPr>
                              <w:pStyle w:val="SubHeader"/>
                            </w:pPr>
                            <w:r>
                              <w:t>Jan. 1, 2020</w:t>
                            </w:r>
                          </w:p>
                          <w:p w:rsidRPr="00D2167C" w:rsidR="00110963" w:rsidP="00110963" w:rsidRDefault="000E4746">
                            <w:pPr>
                              <w:pStyle w:val="BodyText"/>
                            </w:pPr>
                            <w:r>
                              <w:t xml:space="preserve">HSAs, health FSAs and HRAs can reimburse OTC medications without a prescription. </w:t>
                            </w:r>
                          </w:p>
                          <w:p w:rsidR="00110963" w:rsidP="00110963" w:rsidRDefault="000E4746">
                            <w:pPr>
                              <w:pStyle w:val="SubHeader"/>
                            </w:pPr>
                            <w:r>
                              <w:t>March 27, 2020</w:t>
                            </w:r>
                          </w:p>
                          <w:p w:rsidRPr="00D2167C" w:rsidR="00110963" w:rsidP="00110963" w:rsidRDefault="000E4746">
                            <w:pPr>
                              <w:pStyle w:val="BodyText"/>
                            </w:pPr>
                            <w:r>
                              <w:t xml:space="preserve">HDHPs can cover telehealth or other remote care services without a deductible.  </w:t>
                            </w:r>
                          </w:p>
                          <w:p w:rsidR="00441851" w:rsidP="00844896" w:rsidRDefault="004418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style="position:absolute;left:0;text-align:left;margin-left:359.15pt;margin-top:496.4pt;width:190pt;height:150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alt="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">
                <v:textbox>
                  <w:txbxContent>
                    <w:p w:rsidR="00110963" w:rsidP="00110963" w:rsidRDefault="000E4746">
                      <w:pPr>
                        <w:pStyle w:val="SubHeader"/>
                      </w:pPr>
                      <w:r>
                        <w:t>Jan. 1, 2020</w:t>
                      </w:r>
                    </w:p>
                    <w:p w:rsidRPr="00D2167C" w:rsidR="00110963" w:rsidP="00110963" w:rsidRDefault="000E4746">
                      <w:pPr>
                        <w:pStyle w:val="BodyText"/>
                      </w:pPr>
                      <w:r>
                        <w:t xml:space="preserve">HSAs, health FSAs and HRAs can reimburse OTC medications without a prescription. </w:t>
                      </w:r>
                    </w:p>
                    <w:p w:rsidR="00110963" w:rsidP="00110963" w:rsidRDefault="000E4746">
                      <w:pPr>
                        <w:pStyle w:val="SubHeader"/>
                      </w:pPr>
                      <w:r>
                        <w:t>March 27, 2020</w:t>
                      </w:r>
                    </w:p>
                    <w:p w:rsidRPr="00D2167C" w:rsidR="00110963" w:rsidP="00110963" w:rsidRDefault="000E4746">
                      <w:pPr>
                        <w:pStyle w:val="BodyText"/>
                      </w:pPr>
                      <w:r>
                        <w:t xml:space="preserve">HDHPs can cover telehealth or other remote care services without a deductible.  </w:t>
                      </w:r>
                    </w:p>
                    <w:p w:rsidR="00441851" w:rsidP="00844896" w:rsidRDefault="00441851">
                      <w:pPr>
                        <w:pStyle w:val="BodyText"/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Pr="002C433C" w:rsidR="00A357CD" w:rsidP="00D046CF" w:rsidRDefault="000E4746">
      <w:pPr>
        <w:pStyle w:val="BodyText"/>
        <w:ind w:right="270"/>
        <w:sectPr w:rsidRPr="002C433C" w:rsidR="00A357CD" w:rsidSect="008A7E71">
          <w:headerReference w:type="default" r:id="rId11"/>
          <w:footerReference w:type="default" r:id="rId12"/>
          <w:pgSz w:w="12240" w:h="15840"/>
          <w:pgMar w:top="3946" w:right="4680" w:bottom="1440" w:left="720" w:header="720" w:footer="720" w:gutter="0"/>
          <w:cols w:space="720"/>
          <w:docGrid w:linePitch="360"/>
        </w:sectPr>
      </w:pPr>
      <w:r>
        <w:t xml:space="preserve">Employers </w:t>
      </w:r>
      <w:r w:rsidR="002C433C">
        <w:t xml:space="preserve">that sponsor group health plans </w:t>
      </w:r>
      <w:r>
        <w:t xml:space="preserve">should become familiar with the CARES Act changes for </w:t>
      </w:r>
      <w:r w:rsidR="002C433C">
        <w:t>their plans</w:t>
      </w:r>
      <w:r>
        <w:t>. While many of the changes are mandatory, there are some discretionary changes</w:t>
      </w:r>
      <w:r w:rsidR="00C230C6">
        <w:t xml:space="preserve"> that employers can decide whether to make (in consultation with their issuers or benefits administrators). </w:t>
      </w:r>
      <w:r w:rsidR="002C433C">
        <w:t xml:space="preserve">Any </w:t>
      </w:r>
      <w:r w:rsidR="00BC50A3">
        <w:t xml:space="preserve">health </w:t>
      </w:r>
      <w:r w:rsidR="002C433C">
        <w:t>plan changes should be communicated to p</w:t>
      </w:r>
      <w:r w:rsidR="00C230C6">
        <w:t>lan p</w:t>
      </w:r>
      <w:r w:rsidR="002C433C">
        <w:t>articipants</w:t>
      </w:r>
      <w:r w:rsidR="00C230C6">
        <w:t xml:space="preserve">. </w:t>
      </w:r>
      <w:r w:rsidR="002C433C">
        <w:t xml:space="preserve"> </w:t>
      </w:r>
      <w:r w:rsidR="00E6115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bottomMargin">
                  <wp:align>top</wp:align>
                </wp:positionV>
                <wp:extent cx="4344670" cy="594995"/>
                <wp:effectExtent l="0" t="0" r="0" b="0"/>
                <wp:wrapNone/>
                <wp:docPr id="24" name="Text Box 24" descr="" titl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4670" cy="594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A9581B" w:rsidR="00E6115F" w:rsidP="00E6115F" w:rsidRDefault="000E4746">
                            <w:pPr>
                              <w:pStyle w:val="Header"/>
                              <w:rPr>
                                <w:sz w:val="20"/>
                                <w:szCs w:val="20"/>
                              </w:rPr>
                            </w:pPr>
                            <w:r w:rsidRPr="00A9581B">
                              <w:rPr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Provided to you by </w:t>
                            </w:r>
                            <w:r w:rsidRPr="00A9581B">
                              <w:rPr>
                                <w:b/>
                                <w:color w:val="5083C9"/>
                                <w:sz w:val="20"/>
                                <w:szCs w:val="20"/>
                              </w:rPr>
                              <w:t>American Health &amp; Wellness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style="position:absolute;left:0;text-align:left;margin-left:-6.75pt;margin-top:0;width:342.1pt;height:4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bottom-margin-area;mso-width-percent:0;mso-height-percent:0;mso-width-relative:margin;mso-height-relative:margin;v-text-anchor:top" alt="" o:spid="_x0000_s103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">
                <v:textbox>
                  <w:txbxContent>
                    <w:p w:rsidRPr="00A9581B" w:rsidR="00E6115F" w:rsidP="00E6115F" w:rsidRDefault="000E4746">
                      <w:pPr>
                        <w:pStyle w:val="Header"/>
                        <w:rPr>
                          <w:sz w:val="20"/>
                          <w:szCs w:val="20"/>
                        </w:rPr>
                      </w:pPr>
                      <w:r w:rsidRPr="00A9581B">
                        <w:rPr>
                          <w:color w:val="595959" w:themeColor="text1" w:themeTint="A6"/>
                          <w:sz w:val="20"/>
                          <w:szCs w:val="20"/>
                        </w:rPr>
                        <w:t xml:space="preserve">Provided to you by </w:t>
                      </w:r>
                      <w:r w:rsidRPr="00A9581B">
                        <w:rPr>
                          <w:b/>
                          <w:color w:val="5083C9"/>
                          <w:sz w:val="20"/>
                          <w:szCs w:val="20"/>
                        </w:rPr>
                        <w:t>American Health &amp; Wellness Group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A7E71" w:rsidR="008A7E71">
        <w:t xml:space="preserve"> </w:t>
      </w:r>
      <w:r w:rsidRPr="00C84C66" w:rsidR="008A7E71">
        <w:rPr>
          <w:b/>
          <w:color w:val="FFFFFF" w:themeColor="background1"/>
        </w:rPr>
      </w:r>
      <w:r w:rsidRPr="00C84C66">
        <w:rPr>
          <w:b/>
          <w:noProof/>
          <w:color w:val="FFFFFF" w:themeColor="background1"/>
        </w:rPr>
        <w:t xml:space="preserve"> </w:t>
      </w:r>
    </w:p>
    <w:p w:rsidRPr="008A7E71" w:rsidR="00C84C66" w:rsidP="0054445D" w:rsidRDefault="000E4746">
      <w:pPr>
        <w:pStyle w:val="SubHeader"/>
      </w:pPr>
      <w:r>
        <w:lastRenderedPageBreak/>
        <w:t>Co</w:t>
      </w:r>
      <w:r w:rsidR="002A4D1A">
        <w:t>verage Requirement for Co</w:t>
      </w:r>
      <w:r>
        <w:t>ronavirus Testing</w:t>
      </w:r>
    </w:p>
    <w:p w:rsidR="0054445D" w:rsidP="00C84C66" w:rsidRDefault="000E4746">
      <w:pPr>
        <w:pStyle w:val="BodyText"/>
      </w:pPr>
      <w:r w:rsidRPr="0054445D">
        <w:t xml:space="preserve">Effective March 18, 2020, the </w:t>
      </w:r>
      <w:hyperlink w:history="1" r:id="rId13">
        <w:r w:rsidRPr="0054445D">
          <w:rPr>
            <w:rStyle w:val="Hyperlink"/>
          </w:rPr>
          <w:t>Families First Coronavirus Response Act</w:t>
        </w:r>
      </w:hyperlink>
      <w:r w:rsidRPr="0054445D">
        <w:t xml:space="preserve"> (FFCRA) requires group health plans and health insurance issuers to cover COVID-19 testing without imposing any cost sharing (such as deductibles, copayments or coinsurance)</w:t>
      </w:r>
      <w:r w:rsidRPr="0054445D">
        <w:t xml:space="preserve"> or prior authorization or other medical management requirements.</w:t>
      </w:r>
      <w:r w:rsidR="00085F69">
        <w:t xml:space="preserve"> The CARES Act expands the FFCRA’s coverage requirement for COVID-19 testing. </w:t>
      </w:r>
    </w:p>
    <w:p w:rsidRPr="0054445D" w:rsidR="0054445D" w:rsidP="0054445D" w:rsidRDefault="000E4746">
      <w:pPr>
        <w:pStyle w:val="BodyText"/>
        <w:spacing w:after="0"/>
        <w:rPr>
          <w:b/>
          <w:i/>
          <w:color w:val="5083C9"/>
          <w:sz w:val="24"/>
          <w:szCs w:val="24"/>
        </w:rPr>
      </w:pPr>
      <w:r w:rsidRPr="0054445D">
        <w:rPr>
          <w:b/>
          <w:i/>
          <w:color w:val="5083C9"/>
          <w:sz w:val="24"/>
          <w:szCs w:val="24"/>
        </w:rPr>
        <w:t>Coverage Mandate</w:t>
      </w:r>
    </w:p>
    <w:p w:rsidR="0054445D" w:rsidP="0054445D" w:rsidRDefault="000E4746">
      <w:pPr>
        <w:pStyle w:val="BodyText"/>
      </w:pPr>
      <w:r>
        <w:t>This coverage mandate applies to the following health plans and issuers, regardless of grandfat</w:t>
      </w:r>
      <w:r>
        <w:t>hered status under the Affordable Care Act (ACA):</w:t>
      </w:r>
    </w:p>
    <w:p w:rsidR="0054445D" w:rsidP="0054445D" w:rsidRDefault="000E4746">
      <w:pPr>
        <w:pStyle w:val="Checkbox"/>
      </w:pPr>
      <w:r>
        <w:t>All fully insured group health plans</w:t>
      </w:r>
    </w:p>
    <w:p w:rsidR="0054445D" w:rsidP="0054445D" w:rsidRDefault="000E4746">
      <w:pPr>
        <w:pStyle w:val="Checkbox"/>
      </w:pPr>
      <w:r>
        <w:t>All self-insured group health plans</w:t>
      </w:r>
    </w:p>
    <w:p w:rsidR="0054445D" w:rsidP="0054445D" w:rsidRDefault="000E4746">
      <w:pPr>
        <w:pStyle w:val="Checkbox"/>
        <w:spacing w:after="120"/>
      </w:pPr>
      <w:r>
        <w:t>Health insurance issuers offering group or individual coverage</w:t>
      </w:r>
    </w:p>
    <w:p w:rsidR="0054445D" w:rsidP="0054445D" w:rsidRDefault="000E4746">
      <w:pPr>
        <w:pStyle w:val="BodyText"/>
      </w:pPr>
      <w:r>
        <w:t xml:space="preserve">During the COVID-19 public health emergency, health plans and issuers </w:t>
      </w:r>
      <w:r>
        <w:t xml:space="preserve">must cover FDA-approved diagnostic testing products for COVID-19, including any items or services provided during a visit to a provider (in-person or telehealth), urgent care center or emergency room that relate to COVID-19 testing. </w:t>
      </w:r>
    </w:p>
    <w:p w:rsidR="0054445D" w:rsidP="0054445D" w:rsidRDefault="000E4746">
      <w:pPr>
        <w:pStyle w:val="BodyText"/>
      </w:pPr>
      <w:r>
        <w:t xml:space="preserve">Effective March 27, 2020, the CARES Act expands this coverage mandate to include COVID-19 tests provided on an emergency basis, state-developed tests and any other tests approved by the U.S. Department of Health and Human Services.  </w:t>
      </w:r>
    </w:p>
    <w:p w:rsidR="0054445D" w:rsidP="0054445D" w:rsidRDefault="000E4746">
      <w:pPr>
        <w:pStyle w:val="BodyText"/>
      </w:pPr>
      <w:r>
        <w:t>This coverage cannot b</w:t>
      </w:r>
      <w:r>
        <w:t xml:space="preserve">e subject to any plan deductible, copayment or coinsurance.  </w:t>
      </w:r>
    </w:p>
    <w:p w:rsidRPr="0054445D" w:rsidR="0054445D" w:rsidP="0054445D" w:rsidRDefault="000E4746">
      <w:pPr>
        <w:pStyle w:val="BodyText"/>
        <w:spacing w:after="0"/>
        <w:rPr>
          <w:b/>
          <w:i/>
          <w:color w:val="5083C9"/>
          <w:sz w:val="24"/>
          <w:szCs w:val="24"/>
        </w:rPr>
      </w:pPr>
      <w:r w:rsidRPr="0054445D">
        <w:rPr>
          <w:b/>
          <w:i/>
          <w:color w:val="5083C9"/>
          <w:sz w:val="24"/>
          <w:szCs w:val="24"/>
        </w:rPr>
        <w:t>Provider Reimbursement Rates</w:t>
      </w:r>
    </w:p>
    <w:p w:rsidR="0054445D" w:rsidP="0054445D" w:rsidRDefault="000E4746">
      <w:pPr>
        <w:pStyle w:val="BodyText"/>
      </w:pPr>
      <w:r>
        <w:t>The CARES Act also addresses provider reimbursement rates for COVID-19 testing. A health plan or issuer must pay a health care provider the negotiated rate for COVID</w:t>
      </w:r>
      <w:r>
        <w:t>-19 testing. However, if a health plan or issuer does not have a negotiated rate with a provider, it must pay the cash price published by the provider on its public website or negotiate or lower price.</w:t>
      </w:r>
    </w:p>
    <w:p w:rsidR="0054445D" w:rsidP="00085F69" w:rsidRDefault="000E4746">
      <w:pPr>
        <w:pStyle w:val="SubHeader"/>
      </w:pPr>
      <w:r>
        <w:t xml:space="preserve">Accelerated Coverage for COVID-19 Preventive Services </w:t>
      </w:r>
      <w:r>
        <w:t>and Vaccines</w:t>
      </w:r>
    </w:p>
    <w:p w:rsidR="00FF7978" w:rsidP="00FF7978" w:rsidRDefault="000E4746">
      <w:pPr>
        <w:pStyle w:val="BodyText"/>
      </w:pPr>
      <w:r w:rsidRPr="00085F69">
        <w:t xml:space="preserve">The ACA requires non-grandfathered </w:t>
      </w:r>
      <w:r w:rsidR="0023084A">
        <w:t xml:space="preserve">group </w:t>
      </w:r>
      <w:r w:rsidRPr="00085F69">
        <w:t>health plans</w:t>
      </w:r>
      <w:r w:rsidR="0023084A">
        <w:t xml:space="preserve"> and health insurance issuers</w:t>
      </w:r>
      <w:r w:rsidRPr="00085F69">
        <w:t xml:space="preserve"> to cover certain preventive health services without imposing cost-sharing requirements for the services. </w:t>
      </w:r>
      <w:r>
        <w:t>The recommended preventive care services covered by the</w:t>
      </w:r>
      <w:r>
        <w:t>se requirements are:</w:t>
      </w:r>
    </w:p>
    <w:p w:rsidR="00FF7978" w:rsidP="00FF7978" w:rsidRDefault="000E4746">
      <w:pPr>
        <w:pStyle w:val="BulletListText"/>
      </w:pPr>
      <w:r>
        <w:t>Evidence-based items or services that have in effect a rating of A or B in the current recommendations of the United States Preventive Services Task Force</w:t>
      </w:r>
      <w:r w:rsidR="007A3697">
        <w:t xml:space="preserve"> (USPSTF)</w:t>
      </w:r>
      <w:r>
        <w:t>;</w:t>
      </w:r>
    </w:p>
    <w:p w:rsidR="00FF7978" w:rsidP="00FF7978" w:rsidRDefault="000E4746">
      <w:pPr>
        <w:pStyle w:val="BulletListText"/>
      </w:pPr>
      <w:r>
        <w:t xml:space="preserve">Immunizations for routine use in children, adolescents and </w:t>
      </w:r>
      <w:r>
        <w:t>adults that are currently recommended by the Centers for Disease Control and Prevention (CDC) and included on the CDC’s immunization schedules;</w:t>
      </w:r>
    </w:p>
    <w:p w:rsidR="00FF7978" w:rsidP="00FF7978" w:rsidRDefault="000E4746">
      <w:pPr>
        <w:pStyle w:val="BulletListText"/>
      </w:pPr>
      <w:r>
        <w:t>For infants, children and adolescents, evidence-informed preventive care and screenings provided for in the Heal</w:t>
      </w:r>
      <w:r>
        <w:t>th Resources and Services Administration (HRSA) guidelines; and</w:t>
      </w:r>
    </w:p>
    <w:p w:rsidR="00FF7978" w:rsidP="00FF7978" w:rsidRDefault="000E4746">
      <w:pPr>
        <w:pStyle w:val="BulletListText"/>
        <w:spacing w:after="160"/>
      </w:pPr>
      <w:r>
        <w:t>For women, evidence-informed preventive care and screening provided in guidelines supported by HRSA.</w:t>
      </w:r>
    </w:p>
    <w:p w:rsidR="00FF7978" w:rsidP="00FF7978" w:rsidRDefault="000E4746">
      <w:pPr>
        <w:pStyle w:val="BodyText"/>
      </w:pPr>
      <w:r>
        <w:t>In general, health plans and issuers are not required to cover a new preventive care recomm</w:t>
      </w:r>
      <w:r>
        <w:t xml:space="preserve">endation or guideline until </w:t>
      </w:r>
      <w:r w:rsidR="007A3697">
        <w:t xml:space="preserve">at least one year </w:t>
      </w:r>
      <w:r>
        <w:t xml:space="preserve">after the new recommendation or guideline </w:t>
      </w:r>
      <w:r w:rsidR="008B4EC6">
        <w:t>goes</w:t>
      </w:r>
      <w:r>
        <w:t xml:space="preserve"> into</w:t>
      </w:r>
      <w:r w:rsidR="007A3697">
        <w:t xml:space="preserve"> </w:t>
      </w:r>
      <w:r>
        <w:t xml:space="preserve">effect. </w:t>
      </w:r>
    </w:p>
    <w:p w:rsidR="00FF7978" w:rsidP="00FF7978" w:rsidRDefault="000E4746">
      <w:pPr>
        <w:pStyle w:val="BodyText"/>
      </w:pPr>
      <w:r>
        <w:lastRenderedPageBreak/>
        <w:t xml:space="preserve">The CARES </w:t>
      </w:r>
      <w:r w:rsidR="00192A5B">
        <w:t>A</w:t>
      </w:r>
      <w:r>
        <w:t>ct shortens this deadline to ensure that health plans and issuers cover COVID-19 preventive services and vaccines without cost-sharing onc</w:t>
      </w:r>
      <w:r>
        <w:t xml:space="preserve">e they are approved and available. Under the CARES Act, health plans and issuers must cover COVID-19 preventive services and vaccinations without cost-sharing </w:t>
      </w:r>
      <w:r w:rsidRPr="007A3697">
        <w:rPr>
          <w:b/>
        </w:rPr>
        <w:t>within 15 days after a recommendation from USPSTF or the CDC</w:t>
      </w:r>
      <w:r>
        <w:t xml:space="preserve">. </w:t>
      </w:r>
    </w:p>
    <w:p w:rsidR="007A3697" w:rsidP="002A4D1A" w:rsidRDefault="000E4746">
      <w:pPr>
        <w:pStyle w:val="SubHeader"/>
      </w:pPr>
      <w:r>
        <w:t>HDHP Coverage of Coronavirus Costs</w:t>
      </w:r>
    </w:p>
    <w:p w:rsidR="002A4D1A" w:rsidP="002A4D1A" w:rsidRDefault="000E4746">
      <w:pPr>
        <w:pStyle w:val="BodyText"/>
      </w:pPr>
      <w:r>
        <w:t xml:space="preserve">Only individuals who are covered by HDHPs can make contributions to HSAs. To qualify as an HDHP, a health plan cannot pay medical expenses (other than preventive care) until the annual minimum deductible has been reached. </w:t>
      </w:r>
      <w:hyperlink w:history="1" r:id="rId14">
        <w:r w:rsidRPr="002A4D1A">
          <w:rPr>
            <w:rStyle w:val="Hyperlink"/>
          </w:rPr>
          <w:t>IRS Notice 2020-15</w:t>
        </w:r>
      </w:hyperlink>
      <w:r>
        <w:t xml:space="preserve"> and the CARES Act provide exceptions to this general rule to encourage testing for and treatment of COVID-19.</w:t>
      </w:r>
    </w:p>
    <w:p w:rsidR="002A4D1A" w:rsidP="002A4D1A" w:rsidRDefault="000E4746">
      <w:pPr>
        <w:pStyle w:val="BulletListText"/>
      </w:pPr>
      <w:r>
        <w:t xml:space="preserve">IRS Notice 2020-15 </w:t>
      </w:r>
      <w:r w:rsidR="00330934">
        <w:t xml:space="preserve">provides that </w:t>
      </w:r>
      <w:r>
        <w:t>HDHPs</w:t>
      </w:r>
      <w:r w:rsidR="00192A5B">
        <w:t xml:space="preserve"> can</w:t>
      </w:r>
      <w:r>
        <w:t xml:space="preserve"> pay for </w:t>
      </w:r>
      <w:r w:rsidRPr="002A4D1A">
        <w:rPr>
          <w:b/>
        </w:rPr>
        <w:t>COVID-19 testing and treatment</w:t>
      </w:r>
      <w:r>
        <w:t xml:space="preserve"> before plan deduc</w:t>
      </w:r>
      <w:r>
        <w:t xml:space="preserve">tibles have been met, without jeopardizing their status. </w:t>
      </w:r>
      <w:r w:rsidR="00192A5B">
        <w:t xml:space="preserve">As noted above, the FFCRA requires health plans and issuers to </w:t>
      </w:r>
      <w:r w:rsidRPr="00192A5B" w:rsidR="00192A5B">
        <w:t>cover COVID-19 testing without imposing any cost sharing or prior authorization or other medical management requirements.</w:t>
      </w:r>
      <w:bookmarkStart w:name="_GoBack" w:id="0"/>
      <w:bookmarkEnd w:id="0"/>
    </w:p>
    <w:p w:rsidR="002A4D1A" w:rsidP="0075137C" w:rsidRDefault="000E4746">
      <w:pPr>
        <w:pStyle w:val="BulletListText"/>
        <w:spacing w:after="160"/>
      </w:pPr>
      <w:r>
        <w:t>Effective Marc</w:t>
      </w:r>
      <w:r>
        <w:t xml:space="preserve">h 27, 2020, </w:t>
      </w:r>
      <w:r w:rsidR="008B4EC6">
        <w:t xml:space="preserve">the </w:t>
      </w:r>
      <w:r>
        <w:t xml:space="preserve">CARES Act allows HDHPs to provide benefits for </w:t>
      </w:r>
      <w:r w:rsidRPr="002A4D1A">
        <w:rPr>
          <w:b/>
        </w:rPr>
        <w:t xml:space="preserve">telehealth or other remote care services </w:t>
      </w:r>
      <w:r>
        <w:t xml:space="preserve">before plan deductibles have been met. This rule is applicable for plan years beginning before Jan. 1, 2022. </w:t>
      </w:r>
      <w:r w:rsidR="00330934">
        <w:t xml:space="preserve">This is a </w:t>
      </w:r>
      <w:r w:rsidRPr="00C37CF7" w:rsidR="002C433C">
        <w:rPr>
          <w:i/>
        </w:rPr>
        <w:t xml:space="preserve">discretionary </w:t>
      </w:r>
      <w:r w:rsidRPr="00C37CF7" w:rsidR="00330934">
        <w:rPr>
          <w:i/>
        </w:rPr>
        <w:t>change</w:t>
      </w:r>
      <w:r w:rsidR="00330934">
        <w:t xml:space="preserve"> for employer-sponsored health plans, and not a coverage mandate.</w:t>
      </w:r>
      <w:r>
        <w:t xml:space="preserve"> </w:t>
      </w:r>
    </w:p>
    <w:p w:rsidR="002A4D1A" w:rsidP="002A4D1A" w:rsidRDefault="000E4746">
      <w:pPr>
        <w:pStyle w:val="SubHeader"/>
      </w:pPr>
      <w:r>
        <w:t>Tax-Free Coverage for OTC Drugs and Menstrual Prod</w:t>
      </w:r>
      <w:r>
        <w:t>ucts</w:t>
      </w:r>
    </w:p>
    <w:p w:rsidR="0075137C" w:rsidP="0075137C" w:rsidRDefault="000E4746">
      <w:pPr>
        <w:pStyle w:val="BodyText"/>
      </w:pPr>
      <w:r>
        <w:t xml:space="preserve">Effective Jan. 1, 2020, the CARES Act provides that OTC medicines are qualifying </w:t>
      </w:r>
      <w:r w:rsidR="000511B8">
        <w:t xml:space="preserve">medical </w:t>
      </w:r>
      <w:r>
        <w:t xml:space="preserve">expenses that may be paid for (or reimbursed) </w:t>
      </w:r>
      <w:r w:rsidR="000511B8">
        <w:t xml:space="preserve">on a tax-free basis </w:t>
      </w:r>
      <w:r>
        <w:t xml:space="preserve">by an HSA, health FSA or HRA. </w:t>
      </w:r>
      <w:r w:rsidR="000511B8">
        <w:t xml:space="preserve">This change eliminates an ACA provision that required individuals to have a prescription for an OTC medication (except insulin) to pay for it on a tax-free basis with their HSA, health FSA or HRA. </w:t>
      </w:r>
    </w:p>
    <w:p w:rsidR="0075137C" w:rsidP="0075137C" w:rsidRDefault="000E4746">
      <w:pPr>
        <w:pStyle w:val="BodyText"/>
      </w:pPr>
      <w:r>
        <w:t>In addition, effective Jan. 1, 2020, menstrual care products are qualifying medical expenses that can be paid for (or reimbu</w:t>
      </w:r>
      <w:r>
        <w:t>rsed) on a tax-free basis by an HSA, health FSA or HRA.</w:t>
      </w:r>
      <w:r w:rsidR="00330934">
        <w:t xml:space="preserve"> Menstrual care products include tampons, pads, liners, cups, sponges or similar products used by individuals with respect to menstruation. </w:t>
      </w:r>
    </w:p>
    <w:p w:rsidRPr="0075137C" w:rsidR="002C433C" w:rsidP="0075137C" w:rsidRDefault="000E4746">
      <w:pPr>
        <w:pStyle w:val="BodyText"/>
      </w:pPr>
      <w:r>
        <w:t xml:space="preserve">These changes are </w:t>
      </w:r>
      <w:r w:rsidRPr="00C37CF7">
        <w:rPr>
          <w:i/>
        </w:rPr>
        <w:t>discretionary</w:t>
      </w:r>
      <w:r>
        <w:t xml:space="preserve"> for employers that sponsor h</w:t>
      </w:r>
      <w:r>
        <w:t xml:space="preserve">ealth FSAs and HRAs. </w:t>
      </w:r>
      <w:r w:rsidR="00C230C6">
        <w:t xml:space="preserve">However, because HSAs are </w:t>
      </w:r>
      <w:r w:rsidR="00BC50A3">
        <w:t xml:space="preserve">individual accounts, and </w:t>
      </w:r>
      <w:r w:rsidR="00C230C6">
        <w:t>not employer plans, employers do no</w:t>
      </w:r>
      <w:r w:rsidR="00BC50A3">
        <w:t xml:space="preserve">t </w:t>
      </w:r>
      <w:r w:rsidR="00C230C6">
        <w:t>control how</w:t>
      </w:r>
      <w:r w:rsidR="00BC50A3">
        <w:t xml:space="preserve"> HSA funds are used. </w:t>
      </w:r>
      <w:r w:rsidR="00C230C6">
        <w:t xml:space="preserve"> </w:t>
      </w:r>
    </w:p>
    <w:p w:rsidR="002A4D1A" w:rsidP="002A4D1A" w:rsidRDefault="002A4D1A">
      <w:pPr>
        <w:pStyle w:val="Checkbox"/>
        <w:numPr>
          <w:ilvl w:val="0"/>
          <w:numId w:val="0"/>
        </w:numPr>
        <w:ind w:left="806"/>
      </w:pPr>
    </w:p>
    <w:p w:rsidRPr="004967FA" w:rsidR="00C84C66" w:rsidP="004967FA" w:rsidRDefault="00C84C66">
      <w:pPr>
        <w:pStyle w:val="BodyText"/>
      </w:pPr>
    </w:p>
    <w:sectPr w:rsidRPr="004967FA" w:rsidR="00C84C66" w:rsidSect="00C84C66">
      <w:headerReference w:type="default" r:id="rId15"/>
      <w:footerReference w:type="default" r:id="rId16"/>
      <w:pgSz w:w="12240" w:h="15840"/>
      <w:pgMar w:top="1800" w:right="720" w:bottom="180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E4746">
      <w:pPr>
        <w:spacing w:after="0" w:line="240" w:lineRule="auto"/>
      </w:pPr>
      <w:r>
        <w:separator/>
      </w:r>
    </w:p>
  </w:endnote>
  <w:endnote w:type="continuationSeparator" w:id="0">
    <w:p w:rsidR="00000000" w:rsidRDefault="000E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6D" w:rsidRDefault="000E474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margin">
                <wp:align>bottom</wp:align>
              </wp:positionV>
              <wp:extent cx="4126230" cy="0"/>
              <wp:effectExtent l="19050" t="19050" r="7620" b="19050"/>
              <wp:wrapNone/>
              <wp:docPr id="5" name="Straight Connector 5" descr="" titl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 flipV="1">
                        <a:off x="0" y="0"/>
                        <a:ext cx="4126230" cy="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>
                            <a:alpha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style="flip:x y;mso-height-percent:0;mso-height-relative:margin;mso-position-horizontal-relative:margin;mso-position-vertical:bottom;mso-position-vertical-relative:margin;mso-width-percent:0;mso-width-relative:margin;mso-wrap-distance-bottom:0;mso-wrap-distance-left:9pt;mso-wrap-distance-right:9pt;mso-wrap-distance-top:0;mso-wrap-style:square;position:absolute;visibility:visible;z-index:251664384" o:spid="_x0000_s2049" strokecolor="#4472c4" strokeweight="3.5pt" from="0,0" to="324.9pt,0">
              <v:stroke opacity="49087f" joinstyle="miter"/>
              <w10:wrap anchorx="margin" anchory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1492575</wp:posOffset>
          </wp:positionV>
          <wp:extent cx="7772400" cy="630936"/>
          <wp:effectExtent l="0" t="0" r="0" b="0"/>
          <wp:wrapNone/>
          <wp:docPr id="32" name="Picture 32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gal_f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309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81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5483" w:rsidRDefault="000E4746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-55245</wp:posOffset>
                  </wp:positionH>
                  <wp:positionV relativeFrom="paragraph">
                    <wp:posOffset>-101888</wp:posOffset>
                  </wp:positionV>
                  <wp:extent cx="5950527" cy="556260"/>
                  <wp:effectExtent l="0" t="0" r="0" b="0"/>
                  <wp:wrapNone/>
                  <wp:docPr id="20" name="Text Box 20" descr="" title="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5950527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Pr="00817EEE" w:rsidR="00267C01" w:rsidP="00267C01" w:rsidRDefault="000E4746">
                              <w:pPr>
                                <w:pStyle w:val="Disclaimer"/>
                              </w:pPr>
                              <w:r w:rsidRPr="00947E11">
                                <w:rPr>
                                  <w:szCs w:val="16"/>
                                </w:rPr>
                                <w:t xml:space="preserve">This </w:t>
                              </w:r>
                              <w:r>
                                <w:rPr>
                                  <w:szCs w:val="16"/>
                                </w:rPr>
                                <w:t>Compliance Bulletin</w:t>
                              </w:r>
                              <w:r w:rsidRPr="00947E11">
                                <w:rPr>
                                  <w:szCs w:val="16"/>
                                </w:rPr>
                                <w:t xml:space="preserve"> is not intended to be exhaustive nor should any discussion or opinions be construed as legal advice. Readers should contact </w:t>
                              </w:r>
                              <w:r>
                                <w:rPr>
                                  <w:szCs w:val="16"/>
                                </w:rPr>
                                <w:t xml:space="preserve">legal counsel for legal advice. </w:t>
                              </w:r>
                              <w:r w:rsidRPr="00817EEE">
                                <w:t>©20</w:t>
                              </w:r>
                              <w:r w:rsidR="00C37CF7">
                                <w:t>20</w:t>
                              </w:r>
                              <w:r>
                                <w:t xml:space="preserve"> </w:t>
                              </w:r>
                              <w:r w:rsidRPr="00817EEE">
                                <w:t>Zywave, Inc.</w:t>
                              </w:r>
                              <w:r>
                                <w:t xml:space="preserve"> </w:t>
                              </w:r>
                              <w:r w:rsidRPr="00817EEE">
                                <w:t>All rights reserved.</w:t>
                              </w:r>
                            </w:p>
                            <w:p w:rsidRPr="00947E11" w:rsidR="00267C01" w:rsidP="00267C01" w:rsidRDefault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Pr="00947E11" w:rsidR="00267C01" w:rsidP="00267C01" w:rsidRDefault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Pr="00947E11" w:rsidR="00267C01" w:rsidP="00267C01" w:rsidRDefault="00267C01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  <w:p w:rsidRPr="00947E11" w:rsidR="00E6115F" w:rsidP="008F7B15" w:rsidRDefault="00E6115F">
                              <w:pPr>
                                <w:pStyle w:val="Disclaimer"/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style="position:absolute;left:0;text-align:left;margin-left:-4.35pt;margin-top:-8pt;width:468.55pt;height:4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" o:spid="_x0000_s103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">
                  <v:textbox>
                    <w:txbxContent>
                      <w:p w:rsidRPr="00817EEE" w:rsidR="00267C01" w:rsidP="00267C01" w:rsidRDefault="000E4746">
                        <w:pPr>
                          <w:pStyle w:val="Disclaimer"/>
                        </w:pPr>
                        <w:r w:rsidRPr="00947E11">
                          <w:rPr>
                            <w:szCs w:val="16"/>
                          </w:rPr>
                          <w:t xml:space="preserve">This </w:t>
                        </w:r>
                        <w:r>
                          <w:rPr>
                            <w:szCs w:val="16"/>
                          </w:rPr>
                          <w:t>Compliance Bulletin</w:t>
                        </w:r>
                        <w:r w:rsidRPr="00947E11">
                          <w:rPr>
                            <w:szCs w:val="16"/>
                          </w:rPr>
                          <w:t xml:space="preserve"> is not intended to be exhaustive nor should any discussion or opinions be construed as legal advice. Readers should contact </w:t>
                        </w:r>
                        <w:r>
                          <w:rPr>
                            <w:szCs w:val="16"/>
                          </w:rPr>
                          <w:t xml:space="preserve">legal counsel for legal advice. </w:t>
                        </w:r>
                        <w:r w:rsidRPr="00817EEE">
                          <w:t>©20</w:t>
                        </w:r>
                        <w:r w:rsidR="00C37CF7">
                          <w:t>20</w:t>
                        </w:r>
                        <w:r>
                          <w:t xml:space="preserve"> </w:t>
                        </w:r>
                        <w:r w:rsidRPr="00817EEE">
                          <w:t>Zywave, Inc.</w:t>
                        </w:r>
                        <w:r>
                          <w:t xml:space="preserve"> </w:t>
                        </w:r>
                        <w:r w:rsidRPr="00817EEE">
                          <w:t>All rights reserved.</w:t>
                        </w:r>
                      </w:p>
                      <w:p w:rsidRPr="00947E11" w:rsidR="00267C01" w:rsidP="00267C01" w:rsidRDefault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Pr="00947E11" w:rsidR="00267C01" w:rsidP="00267C01" w:rsidRDefault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Pr="00947E11" w:rsidR="00267C01" w:rsidP="00267C01" w:rsidRDefault="00267C01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  <w:p w:rsidRPr="00947E11" w:rsidR="00E6115F" w:rsidP="008F7B15" w:rsidRDefault="00E6115F">
                        <w:pPr>
                          <w:pStyle w:val="Disclaimer"/>
                          <w:rPr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7620</wp:posOffset>
                  </wp:positionH>
                  <wp:positionV relativeFrom="bottomMargin">
                    <wp:posOffset>7620</wp:posOffset>
                  </wp:positionV>
                  <wp:extent cx="6848475" cy="8890"/>
                  <wp:effectExtent l="19050" t="19050" r="9525" b="29210"/>
                  <wp:wrapNone/>
                  <wp:docPr id="924900965" name="Straight Connector 1" descr="" title="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 flipV="1">
                            <a:off x="0" y="0"/>
                            <a:ext cx="6848475" cy="889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accent1">
                                <a:alpha val="7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id="Straight Connector 1" style="flip:x y;mso-height-percent:0;mso-height-relative:margin;mso-position-horizontal-relative:margin;mso-position-vertical-relative:bottom-margin-area;mso-width-percent:0;mso-width-relative:margin;mso-wrap-distance-bottom:0;mso-wrap-distance-left:9pt;mso-wrap-distance-right:9pt;mso-wrap-distance-top:0;mso-wrap-style:square;position:absolute;visibility:visible;z-index:251666432" o:spid="_x0000_s2051" strokecolor="#4472c4" strokeweight="3.5pt" from="0.6pt,0.6pt" to="539.85pt,1.3pt">
                  <v:stroke opacity="49087f" joinstyle="miter"/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6115F" w:rsidRDefault="00E611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E4746">
      <w:pPr>
        <w:spacing w:after="0" w:line="240" w:lineRule="auto"/>
      </w:pPr>
      <w:r>
        <w:separator/>
      </w:r>
    </w:p>
  </w:footnote>
  <w:footnote w:type="continuationSeparator" w:id="0">
    <w:p w:rsidR="00000000" w:rsidRDefault="000E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6D" w:rsidRDefault="000E47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60970" cy="10043121"/>
          <wp:effectExtent l="0" t="0" r="0" b="0"/>
          <wp:wrapNone/>
          <wp:docPr id="31" name="Picture 3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gal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970" cy="100431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7CD" w:rsidRDefault="000E4746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-452061</wp:posOffset>
          </wp:positionV>
          <wp:extent cx="7776976" cy="1636776"/>
          <wp:effectExtent l="0" t="0" r="0" b="1905"/>
          <wp:wrapNone/>
          <wp:docPr id="17" name="Picture 17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7216441" name="legal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976" cy="1636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4184"/>
    <w:multiLevelType w:val="hybridMultilevel"/>
    <w:tmpl w:val="BF300FB4"/>
    <w:lvl w:ilvl="0" w:tplc="348064AE">
      <w:start w:val="1"/>
      <w:numFmt w:val="bullet"/>
      <w:pStyle w:val="BulletListTex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 w:tplc="F286B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A2D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4C37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5CD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028D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8C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0F4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943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B1D96"/>
    <w:multiLevelType w:val="multilevel"/>
    <w:tmpl w:val="B13CDD56"/>
    <w:numStyleLink w:val="BulletedList"/>
  </w:abstractNum>
  <w:abstractNum w:abstractNumId="2" w15:restartNumberingAfterBreak="0">
    <w:nsid w:val="107872B1"/>
    <w:multiLevelType w:val="multilevel"/>
    <w:tmpl w:val="B13CDD56"/>
    <w:numStyleLink w:val="BulletedList"/>
  </w:abstractNum>
  <w:abstractNum w:abstractNumId="3" w15:restartNumberingAfterBreak="0">
    <w:nsid w:val="11E95063"/>
    <w:multiLevelType w:val="hybridMultilevel"/>
    <w:tmpl w:val="0CE2A7C2"/>
    <w:lvl w:ilvl="0" w:tplc="9FE23ED6">
      <w:start w:val="1"/>
      <w:numFmt w:val="bullet"/>
      <w:pStyle w:val="BulletList"/>
      <w:lvlText w:val=""/>
      <w:lvlJc w:val="left"/>
      <w:pPr>
        <w:ind w:left="540" w:hanging="360"/>
      </w:pPr>
      <w:rPr>
        <w:rFonts w:ascii="Symbol" w:hAnsi="Symbol" w:hint="default"/>
        <w:color w:val="5083C9"/>
      </w:rPr>
    </w:lvl>
    <w:lvl w:ilvl="1" w:tplc="2AE264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723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1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A8A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80C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C06E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341F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AB7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2176E"/>
    <w:multiLevelType w:val="multilevel"/>
    <w:tmpl w:val="B13CDD56"/>
    <w:numStyleLink w:val="BulletedList"/>
  </w:abstractNum>
  <w:abstractNum w:abstractNumId="5" w15:restartNumberingAfterBreak="0">
    <w:nsid w:val="15AF19AE"/>
    <w:multiLevelType w:val="multilevel"/>
    <w:tmpl w:val="B13CDD56"/>
    <w:numStyleLink w:val="BulletedList"/>
  </w:abstractNum>
  <w:abstractNum w:abstractNumId="6" w15:restartNumberingAfterBreak="0">
    <w:nsid w:val="1A270686"/>
    <w:multiLevelType w:val="hybridMultilevel"/>
    <w:tmpl w:val="409AC006"/>
    <w:lvl w:ilvl="0" w:tplc="5CE8B06A">
      <w:start w:val="1"/>
      <w:numFmt w:val="bullet"/>
      <w:pStyle w:val="Checkbox"/>
      <w:lvlText w:val=""/>
      <w:lvlJc w:val="left"/>
      <w:pPr>
        <w:ind w:left="1170" w:hanging="360"/>
      </w:pPr>
      <w:rPr>
        <w:rFonts w:ascii="Wingdings" w:hAnsi="Wingdings" w:hint="default"/>
        <w:color w:val="5083C9"/>
        <w:sz w:val="28"/>
      </w:rPr>
    </w:lvl>
    <w:lvl w:ilvl="1" w:tplc="52AA99B8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9C32C81A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A3AA1A6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E85E0048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21E00F6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1D56AE3E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3634E98C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5BD09B1E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1AA327BD"/>
    <w:multiLevelType w:val="multilevel"/>
    <w:tmpl w:val="5E0EC23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3E32AF5"/>
    <w:multiLevelType w:val="multilevel"/>
    <w:tmpl w:val="B13CDD56"/>
    <w:styleLink w:val="Bulleted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083C9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8601A1"/>
    <w:multiLevelType w:val="hybridMultilevel"/>
    <w:tmpl w:val="43CE94D6"/>
    <w:lvl w:ilvl="0" w:tplc="BDD060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A6B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22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613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EBD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4851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660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887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6D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24744"/>
    <w:multiLevelType w:val="hybridMultilevel"/>
    <w:tmpl w:val="D67CDEAC"/>
    <w:lvl w:ilvl="0" w:tplc="5C56DF46">
      <w:start w:val="1"/>
      <w:numFmt w:val="bullet"/>
      <w:pStyle w:val="Xbox"/>
      <w:lvlText w:val=""/>
      <w:lvlJc w:val="left"/>
      <w:pPr>
        <w:ind w:left="540" w:hanging="360"/>
      </w:pPr>
      <w:rPr>
        <w:rFonts w:ascii="Wingdings" w:hAnsi="Wingdings" w:hint="default"/>
        <w:color w:val="BD6363"/>
        <w:sz w:val="28"/>
      </w:rPr>
    </w:lvl>
    <w:lvl w:ilvl="1" w:tplc="07F6A6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450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82C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854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20C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8B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FF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8D5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447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BD41DC0"/>
    <w:multiLevelType w:val="multilevel"/>
    <w:tmpl w:val="B13CDD56"/>
    <w:numStyleLink w:val="BulletedList"/>
  </w:abstractNum>
  <w:abstractNum w:abstractNumId="13" w15:restartNumberingAfterBreak="0">
    <w:nsid w:val="706E0AA3"/>
    <w:multiLevelType w:val="hybridMultilevel"/>
    <w:tmpl w:val="839A40D6"/>
    <w:lvl w:ilvl="0" w:tplc="B3B0E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083C9"/>
      </w:rPr>
    </w:lvl>
    <w:lvl w:ilvl="1" w:tplc="2D4C1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086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2EE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A7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1E3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B0A8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E4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826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48530C"/>
    <w:multiLevelType w:val="multilevel"/>
    <w:tmpl w:val="B13CDD56"/>
    <w:numStyleLink w:val="BulletedList"/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11"/>
  </w:num>
  <w:num w:numId="8">
    <w:abstractNumId w:val="8"/>
  </w:num>
  <w:num w:numId="9">
    <w:abstractNumId w:val="1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DF"/>
    <w:rsid w:val="00022BAB"/>
    <w:rsid w:val="00037A6B"/>
    <w:rsid w:val="000511B8"/>
    <w:rsid w:val="00060CCE"/>
    <w:rsid w:val="00085F69"/>
    <w:rsid w:val="00090E64"/>
    <w:rsid w:val="000E4746"/>
    <w:rsid w:val="00110963"/>
    <w:rsid w:val="0012162D"/>
    <w:rsid w:val="00127CA1"/>
    <w:rsid w:val="001345D1"/>
    <w:rsid w:val="00150559"/>
    <w:rsid w:val="00171781"/>
    <w:rsid w:val="001725D9"/>
    <w:rsid w:val="0019007E"/>
    <w:rsid w:val="00192A5B"/>
    <w:rsid w:val="001B1A7E"/>
    <w:rsid w:val="001B200A"/>
    <w:rsid w:val="001E4211"/>
    <w:rsid w:val="0023084A"/>
    <w:rsid w:val="0024208C"/>
    <w:rsid w:val="00247ADF"/>
    <w:rsid w:val="0026000D"/>
    <w:rsid w:val="00267C01"/>
    <w:rsid w:val="00282C22"/>
    <w:rsid w:val="002A4D1A"/>
    <w:rsid w:val="002C002A"/>
    <w:rsid w:val="002C433C"/>
    <w:rsid w:val="002C76C0"/>
    <w:rsid w:val="002F02F6"/>
    <w:rsid w:val="002F0A3E"/>
    <w:rsid w:val="00306553"/>
    <w:rsid w:val="003267EB"/>
    <w:rsid w:val="00330934"/>
    <w:rsid w:val="0035530B"/>
    <w:rsid w:val="0037553A"/>
    <w:rsid w:val="003A6B72"/>
    <w:rsid w:val="003C10A8"/>
    <w:rsid w:val="00441851"/>
    <w:rsid w:val="00467D27"/>
    <w:rsid w:val="00485C3A"/>
    <w:rsid w:val="004967FA"/>
    <w:rsid w:val="004B125C"/>
    <w:rsid w:val="00505450"/>
    <w:rsid w:val="00534014"/>
    <w:rsid w:val="0054445D"/>
    <w:rsid w:val="00574C31"/>
    <w:rsid w:val="00584B55"/>
    <w:rsid w:val="00585290"/>
    <w:rsid w:val="005A1F47"/>
    <w:rsid w:val="005A70C2"/>
    <w:rsid w:val="005D05D9"/>
    <w:rsid w:val="005E5147"/>
    <w:rsid w:val="005F4596"/>
    <w:rsid w:val="00617267"/>
    <w:rsid w:val="00657E04"/>
    <w:rsid w:val="006A407C"/>
    <w:rsid w:val="006A63B4"/>
    <w:rsid w:val="006C6717"/>
    <w:rsid w:val="00707343"/>
    <w:rsid w:val="007318F0"/>
    <w:rsid w:val="00732BAF"/>
    <w:rsid w:val="0075137C"/>
    <w:rsid w:val="00791090"/>
    <w:rsid w:val="007A3697"/>
    <w:rsid w:val="007B5200"/>
    <w:rsid w:val="007D1039"/>
    <w:rsid w:val="007D306E"/>
    <w:rsid w:val="007D5EFD"/>
    <w:rsid w:val="007F7D78"/>
    <w:rsid w:val="00802FF0"/>
    <w:rsid w:val="00817EEE"/>
    <w:rsid w:val="00826394"/>
    <w:rsid w:val="008406B4"/>
    <w:rsid w:val="00844896"/>
    <w:rsid w:val="008763E8"/>
    <w:rsid w:val="00892115"/>
    <w:rsid w:val="008A7E71"/>
    <w:rsid w:val="008B3699"/>
    <w:rsid w:val="008B4EC6"/>
    <w:rsid w:val="008F4096"/>
    <w:rsid w:val="008F7B15"/>
    <w:rsid w:val="00926535"/>
    <w:rsid w:val="00947E11"/>
    <w:rsid w:val="0098636D"/>
    <w:rsid w:val="00993033"/>
    <w:rsid w:val="00994E35"/>
    <w:rsid w:val="009B04C4"/>
    <w:rsid w:val="009D4BB6"/>
    <w:rsid w:val="009E4DC9"/>
    <w:rsid w:val="009F3CA3"/>
    <w:rsid w:val="00A337BD"/>
    <w:rsid w:val="00A357CD"/>
    <w:rsid w:val="00A42C82"/>
    <w:rsid w:val="00A47C53"/>
    <w:rsid w:val="00A8186B"/>
    <w:rsid w:val="00A83C9F"/>
    <w:rsid w:val="00A9581B"/>
    <w:rsid w:val="00AC219B"/>
    <w:rsid w:val="00AD0649"/>
    <w:rsid w:val="00B15441"/>
    <w:rsid w:val="00B51EA7"/>
    <w:rsid w:val="00B93371"/>
    <w:rsid w:val="00BA161B"/>
    <w:rsid w:val="00BC26A4"/>
    <w:rsid w:val="00BC50A3"/>
    <w:rsid w:val="00BC79DD"/>
    <w:rsid w:val="00BD76ED"/>
    <w:rsid w:val="00C230C6"/>
    <w:rsid w:val="00C37CF7"/>
    <w:rsid w:val="00C84C66"/>
    <w:rsid w:val="00C87B81"/>
    <w:rsid w:val="00CB1ADE"/>
    <w:rsid w:val="00CF5E21"/>
    <w:rsid w:val="00D046CF"/>
    <w:rsid w:val="00D2167C"/>
    <w:rsid w:val="00D379D5"/>
    <w:rsid w:val="00D5456E"/>
    <w:rsid w:val="00D62BEA"/>
    <w:rsid w:val="00D76FCB"/>
    <w:rsid w:val="00D8467E"/>
    <w:rsid w:val="00DB7131"/>
    <w:rsid w:val="00DC3880"/>
    <w:rsid w:val="00DE5BB1"/>
    <w:rsid w:val="00E16E6C"/>
    <w:rsid w:val="00E35483"/>
    <w:rsid w:val="00E375D9"/>
    <w:rsid w:val="00E52110"/>
    <w:rsid w:val="00E55C9C"/>
    <w:rsid w:val="00E6115F"/>
    <w:rsid w:val="00E75AA9"/>
    <w:rsid w:val="00EA13FD"/>
    <w:rsid w:val="00EA2BB6"/>
    <w:rsid w:val="00EC2053"/>
    <w:rsid w:val="00EF7BE8"/>
    <w:rsid w:val="00F02742"/>
    <w:rsid w:val="00F54A11"/>
    <w:rsid w:val="00FE29B4"/>
    <w:rsid w:val="00FF2183"/>
    <w:rsid w:val="00FF3F30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402F41C-FDE8-4402-931A-3DF97ADC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styleId="Normal" w:default="1">
    <w:name w:val="Normal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8636D"/>
  </w:style>
  <w:style w:type="paragraph" w:styleId="Footer">
    <w:name w:val="footer"/>
    <w:basedOn w:val="Normal"/>
    <w:link w:val="FooterChar"/>
    <w:uiPriority w:val="99"/>
    <w:unhideWhenUsed/>
    <w:rsid w:val="0098636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8636D"/>
  </w:style>
  <w:style w:type="paragraph" w:styleId="MainTitle" w:customStyle="1">
    <w:name w:val="Main Title"/>
    <w:basedOn w:val="Normal"/>
    <w:link w:val="MainTitleChar"/>
    <w:qFormat/>
    <w:rsid w:val="008A7E71"/>
    <w:pPr>
      <w:spacing w:after="120" w:line="228" w:lineRule="auto"/>
    </w:pPr>
    <w:rPr>
      <w:b/>
      <w:color w:val="5083C9"/>
      <w:sz w:val="48"/>
      <w:szCs w:val="48"/>
    </w:rPr>
  </w:style>
  <w:style w:type="paragraph" w:styleId="BodyText">
    <w:name w:val="Body Text"/>
    <w:basedOn w:val="BodyText2"/>
    <w:link w:val="BodyTextChar"/>
    <w:qFormat/>
    <w:rsid w:val="0024208C"/>
    <w:pPr>
      <w:spacing w:after="160" w:line="259" w:lineRule="auto"/>
      <w:jc w:val="both"/>
    </w:pPr>
    <w:rPr>
      <w:rFonts w:ascii="Calibri" w:hAnsi="Calibri" w:eastAsia="Times New Roman" w:cs="Arial"/>
      <w:color w:val="595959"/>
      <w:szCs w:val="20"/>
    </w:rPr>
  </w:style>
  <w:style w:type="character" w:styleId="MainTitleChar" w:customStyle="1">
    <w:name w:val="Main Title Char"/>
    <w:basedOn w:val="DefaultParagraphFont"/>
    <w:link w:val="MainTitle"/>
    <w:rsid w:val="008A7E71"/>
    <w:rPr>
      <w:b/>
      <w:color w:val="5083C9"/>
      <w:sz w:val="48"/>
      <w:szCs w:val="48"/>
    </w:rPr>
  </w:style>
  <w:style w:type="character" w:styleId="BodyTextChar" w:customStyle="1">
    <w:name w:val="Body Text Char"/>
    <w:basedOn w:val="DefaultParagraphFont"/>
    <w:link w:val="BodyText"/>
    <w:rsid w:val="0024208C"/>
    <w:rPr>
      <w:rFonts w:ascii="Calibri" w:hAnsi="Calibri" w:eastAsia="Times New Roman" w:cs="Arial"/>
      <w:color w:val="595959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A7E71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8A7E71"/>
  </w:style>
  <w:style w:type="paragraph" w:styleId="SubHeader" w:customStyle="1">
    <w:name w:val="Sub Header"/>
    <w:basedOn w:val="BodyText"/>
    <w:link w:val="SubHeaderChar"/>
    <w:qFormat/>
    <w:rsid w:val="00441851"/>
    <w:pPr>
      <w:spacing w:after="0" w:line="216" w:lineRule="auto"/>
      <w:jc w:val="left"/>
    </w:pPr>
    <w:rPr>
      <w:b/>
      <w:color w:val="404040" w:themeColor="text1" w:themeTint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rsid w:val="0024208C"/>
    <w:pPr>
      <w:spacing w:after="60" w:line="192" w:lineRule="auto"/>
    </w:pPr>
    <w:rPr>
      <w:rFonts w:ascii="Calibri" w:hAnsi="Calibri" w:eastAsia="Calibri" w:cs="Times New Roman"/>
      <w:b/>
      <w:caps/>
      <w:color w:val="39945E"/>
      <w:sz w:val="40"/>
      <w:szCs w:val="40"/>
    </w:rPr>
  </w:style>
  <w:style w:type="character" w:styleId="SubHeaderChar" w:customStyle="1">
    <w:name w:val="Sub Header Char"/>
    <w:basedOn w:val="BodyTextChar"/>
    <w:link w:val="SubHeader"/>
    <w:rsid w:val="00441851"/>
    <w:rPr>
      <w:rFonts w:ascii="Calibri" w:hAnsi="Calibri" w:eastAsia="Times New Roman" w:cs="Arial"/>
      <w:b/>
      <w:color w:val="404040" w:themeColor="text1" w:themeTint="BF"/>
      <w:sz w:val="28"/>
      <w:szCs w:val="28"/>
    </w:rPr>
  </w:style>
  <w:style w:type="character" w:styleId="TitleChar" w:customStyle="1">
    <w:name w:val="Title Char"/>
    <w:basedOn w:val="DefaultParagraphFont"/>
    <w:link w:val="Title"/>
    <w:uiPriority w:val="10"/>
    <w:rsid w:val="0024208C"/>
    <w:rPr>
      <w:rFonts w:ascii="Calibri" w:hAnsi="Calibri" w:eastAsia="Calibri" w:cs="Times New Roman"/>
      <w:b/>
      <w:caps/>
      <w:color w:val="39945E"/>
      <w:sz w:val="40"/>
      <w:szCs w:val="40"/>
    </w:rPr>
  </w:style>
  <w:style w:type="paragraph" w:styleId="Disclaimer" w:customStyle="1">
    <w:name w:val="Disclaimer"/>
    <w:basedOn w:val="Normal"/>
    <w:link w:val="DisclaimerChar"/>
    <w:qFormat/>
    <w:rsid w:val="008F7B15"/>
    <w:rPr>
      <w:rFonts w:ascii="Verdana" w:hAnsi="Verdana" w:eastAsia="Calibri" w:cs="Times New Roman"/>
      <w:color w:val="7F7F7F"/>
      <w:sz w:val="16"/>
    </w:rPr>
  </w:style>
  <w:style w:type="character" w:styleId="DisclaimerChar" w:customStyle="1">
    <w:name w:val="Disclaimer Char"/>
    <w:link w:val="Disclaimer"/>
    <w:rsid w:val="008F7B15"/>
    <w:rPr>
      <w:rFonts w:ascii="Verdana" w:hAnsi="Verdana" w:eastAsia="Calibri" w:cs="Times New Roman"/>
      <w:color w:val="7F7F7F"/>
      <w:sz w:val="16"/>
    </w:rPr>
  </w:style>
  <w:style w:type="paragraph" w:styleId="BulletList" w:customStyle="1">
    <w:name w:val="Bullet List"/>
    <w:basedOn w:val="BodyText"/>
    <w:link w:val="BulletListChar"/>
    <w:rsid w:val="001725D9"/>
    <w:pPr>
      <w:numPr>
        <w:numId w:val="1"/>
      </w:numPr>
      <w:spacing w:after="20"/>
    </w:pPr>
  </w:style>
  <w:style w:type="paragraph" w:styleId="Checkbox" w:customStyle="1">
    <w:name w:val="Checkbox"/>
    <w:basedOn w:val="BulletList"/>
    <w:link w:val="CheckboxChar"/>
    <w:qFormat/>
    <w:rsid w:val="00B51EA7"/>
    <w:pPr>
      <w:numPr>
        <w:numId w:val="3"/>
      </w:numPr>
      <w:tabs>
        <w:tab w:val="left" w:pos="540"/>
      </w:tabs>
      <w:ind w:left="806" w:hanging="446"/>
    </w:pPr>
  </w:style>
  <w:style w:type="character" w:styleId="BulletListChar" w:customStyle="1">
    <w:name w:val="Bullet List Char"/>
    <w:basedOn w:val="BodyTextChar"/>
    <w:link w:val="BulletList"/>
    <w:rsid w:val="001725D9"/>
    <w:rPr>
      <w:rFonts w:ascii="Calibri" w:hAnsi="Calibri" w:eastAsia="Times New Roman" w:cs="Arial"/>
      <w:color w:val="595959"/>
      <w:szCs w:val="20"/>
    </w:rPr>
  </w:style>
  <w:style w:type="paragraph" w:styleId="Xbox" w:customStyle="1">
    <w:name w:val="Xbox"/>
    <w:basedOn w:val="Checkbox"/>
    <w:link w:val="XboxChar"/>
    <w:qFormat/>
    <w:rsid w:val="006A63B4"/>
    <w:pPr>
      <w:numPr>
        <w:numId w:val="4"/>
      </w:numPr>
      <w:ind w:left="806" w:hanging="446"/>
    </w:pPr>
  </w:style>
  <w:style w:type="character" w:styleId="CheckboxChar" w:customStyle="1">
    <w:name w:val="Checkbox Char"/>
    <w:basedOn w:val="BulletListChar"/>
    <w:link w:val="Checkbox"/>
    <w:rsid w:val="00B51EA7"/>
    <w:rPr>
      <w:rFonts w:ascii="Calibri" w:hAnsi="Calibri" w:eastAsia="Times New Roman" w:cs="Arial"/>
      <w:color w:val="595959"/>
      <w:szCs w:val="20"/>
    </w:rPr>
  </w:style>
  <w:style w:type="paragraph" w:styleId="CallOutBox" w:customStyle="1">
    <w:name w:val="Call Out Box"/>
    <w:basedOn w:val="Footer"/>
    <w:link w:val="CallOutBoxChar"/>
    <w:qFormat/>
    <w:rsid w:val="00CF5E21"/>
    <w:pPr>
      <w:jc w:val="center"/>
    </w:pPr>
    <w:rPr>
      <w:b/>
      <w:i/>
      <w:color w:val="5083C9"/>
      <w:sz w:val="36"/>
      <w:szCs w:val="36"/>
    </w:rPr>
  </w:style>
  <w:style w:type="character" w:styleId="XboxChar" w:customStyle="1">
    <w:name w:val="Xbox Char"/>
    <w:basedOn w:val="CheckboxChar"/>
    <w:link w:val="Xbox"/>
    <w:rsid w:val="006A63B4"/>
    <w:rPr>
      <w:rFonts w:ascii="Calibri" w:hAnsi="Calibri" w:eastAsia="Times New Roman" w:cs="Arial"/>
      <w:color w:val="595959"/>
      <w:szCs w:val="20"/>
    </w:rPr>
  </w:style>
  <w:style w:type="table" w:styleId="TableGrid">
    <w:name w:val="Table Grid"/>
    <w:basedOn w:val="TableNormal"/>
    <w:uiPriority w:val="39"/>
    <w:rsid w:val="00C84C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allOutBoxChar" w:customStyle="1">
    <w:name w:val="Call Out Box Char"/>
    <w:basedOn w:val="FooterChar"/>
    <w:link w:val="CallOutBox"/>
    <w:rsid w:val="00CF5E21"/>
    <w:rPr>
      <w:b/>
      <w:i/>
      <w:color w:val="5083C9"/>
      <w:sz w:val="36"/>
      <w:szCs w:val="36"/>
    </w:rPr>
  </w:style>
  <w:style w:type="paragraph" w:styleId="TableHeader" w:customStyle="1">
    <w:name w:val="Table Header"/>
    <w:basedOn w:val="BodyText"/>
    <w:link w:val="TableHeaderChar"/>
    <w:qFormat/>
    <w:rsid w:val="00C84C66"/>
    <w:pPr>
      <w:jc w:val="center"/>
    </w:pPr>
    <w:rPr>
      <w:b/>
      <w:color w:val="FFFFFF" w:themeColor="background1"/>
      <w:sz w:val="26"/>
      <w:szCs w:val="26"/>
    </w:rPr>
  </w:style>
  <w:style w:type="character" w:styleId="TableHeaderChar" w:customStyle="1">
    <w:name w:val="Table Header Char"/>
    <w:basedOn w:val="BodyTextChar"/>
    <w:link w:val="TableHeader"/>
    <w:rsid w:val="00C84C66"/>
    <w:rPr>
      <w:rFonts w:ascii="Calibri" w:hAnsi="Calibri" w:eastAsia="Times New Roman" w:cs="Arial"/>
      <w:b/>
      <w:color w:val="FFFFFF" w:themeColor="background1"/>
      <w:sz w:val="26"/>
      <w:szCs w:val="26"/>
    </w:rPr>
  </w:style>
  <w:style w:type="numbering" w:styleId="BulletedList" w:customStyle="1">
    <w:name w:val="Bulleted List"/>
    <w:uiPriority w:val="99"/>
    <w:rsid w:val="00E52110"/>
    <w:pPr>
      <w:numPr>
        <w:numId w:val="8"/>
      </w:numPr>
    </w:pPr>
  </w:style>
  <w:style w:type="paragraph" w:styleId="BulletListText" w:customStyle="1">
    <w:name w:val="Bullet List Text"/>
    <w:basedOn w:val="BodyText"/>
    <w:link w:val="BulletListTextChar"/>
    <w:qFormat/>
    <w:rsid w:val="005A1F47"/>
    <w:pPr>
      <w:numPr>
        <w:numId w:val="15"/>
      </w:numPr>
      <w:spacing w:after="40" w:line="240" w:lineRule="auto"/>
      <w:ind w:right="274"/>
    </w:pPr>
  </w:style>
  <w:style w:type="character" w:styleId="BulletListTextChar" w:customStyle="1">
    <w:name w:val="Bullet List Text Char"/>
    <w:basedOn w:val="BodyTextChar"/>
    <w:link w:val="BulletListText"/>
    <w:rsid w:val="005A1F47"/>
    <w:rPr>
      <w:rFonts w:ascii="Calibri" w:hAnsi="Calibri" w:eastAsia="Times New Roman" w:cs="Arial"/>
      <w:color w:val="595959"/>
      <w:szCs w:val="20"/>
    </w:rPr>
  </w:style>
  <w:style w:type="character" w:styleId="Hyperlink">
    <w:name w:val="Hyperlink"/>
    <w:basedOn w:val="DefaultParagraphFont"/>
    <w:uiPriority w:val="99"/>
    <w:unhideWhenUsed/>
    <w:rsid w:val="00657E04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657E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79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image" Target="media/image2.png" />
  <Relationship Id="rId13" Type="http://schemas.openxmlformats.org/officeDocument/2006/relationships/hyperlink" Target="https://www.congress.gov/116/bills/hr6201/BILLS-116hr6201enr.pdf" TargetMode="External" />
  <Relationship Id="rId1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12" Type="http://schemas.openxmlformats.org/officeDocument/2006/relationships/footer" Target="footer1.xml" />
  <Relationship Id="rId17" Type="http://schemas.openxmlformats.org/officeDocument/2006/relationships/fontTable" Target="fontTable.xml" />
  <Relationship Id="rId2" Type="http://schemas.openxmlformats.org/officeDocument/2006/relationships/styles" Target="styles.xml" />
  <Relationship Id="rId16" Type="http://schemas.openxmlformats.org/officeDocument/2006/relationships/footer" Target="footer2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1.xml" />
  <Relationship Id="rId5" Type="http://schemas.openxmlformats.org/officeDocument/2006/relationships/footnotes" Target="footnotes.xml" />
  <Relationship Id="rId15" Type="http://schemas.openxmlformats.org/officeDocument/2006/relationships/header" Target="header2.xml" />
  <Relationship Id="rId10" Type="http://schemas.openxmlformats.org/officeDocument/2006/relationships/hyperlink" Target="https://www.congress.gov/bill/116th-congress/house-bill/748/text" TargetMode="External" />
  <Relationship Id="rId4" Type="http://schemas.openxmlformats.org/officeDocument/2006/relationships/webSettings" Target="webSettings.xml" />
  <Relationship Id="rId9" Type="http://schemas.openxmlformats.org/officeDocument/2006/relationships/image" Target="media/image3.png" />
  <Relationship Id="rId14" Type="http://schemas.openxmlformats.org/officeDocument/2006/relationships/hyperlink" Target="https://www.irs.gov/pub/irs-drop/n-20-15.pdf" TargetMode="External" />
</Relationships>
</file>

<file path=word/_rels/foot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5.png" />
</Relationships>
</file>

<file path=word/_rels/header1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4.png" />
</Relationships>
</file>

<file path=word/_rels/header2.xml.rels>&#65279;<?xml version="1.0" encoding="UTF-8" standalone="yes"?>
<Relationships xmlns="http://schemas.openxmlformats.org/package/2006/relationships">
  <Relationship Id="rId1" Type="http://schemas.openxmlformats.org/officeDocument/2006/relationships/image" Target="media/image6.png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/>
</file>